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054AE101"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BC6E8D">
        <w:rPr>
          <w:rFonts w:eastAsia="Malgun Gothic"/>
          <w:b/>
          <w:bCs/>
          <w:sz w:val="28"/>
        </w:rPr>
        <w:t xml:space="preserve">Meeting </w:t>
      </w:r>
      <w:r w:rsidRPr="00B55C47">
        <w:rPr>
          <w:rFonts w:eastAsia="Malgun Gothic"/>
          <w:b/>
          <w:bCs/>
          <w:sz w:val="28"/>
        </w:rPr>
        <w:t>#</w:t>
      </w:r>
      <w:r w:rsidR="00BC6E8D">
        <w:rPr>
          <w:rFonts w:eastAsia="Malgun Gothic"/>
          <w:b/>
          <w:bCs/>
          <w:sz w:val="28"/>
        </w:rPr>
        <w:t>81</w:t>
      </w:r>
      <w:r w:rsidR="00BC6E8D">
        <w:rPr>
          <w:rFonts w:eastAsia="Malgun Gothic"/>
          <w:b/>
          <w:bCs/>
          <w:sz w:val="28"/>
        </w:rPr>
        <w:tab/>
      </w:r>
      <w:r w:rsidR="00A2208A" w:rsidRPr="00B55C47">
        <w:rPr>
          <w:rFonts w:eastAsia="Malgun Gothic"/>
          <w:b/>
          <w:bCs/>
          <w:sz w:val="28"/>
        </w:rPr>
        <w:t>R5-18</w:t>
      </w:r>
      <w:r w:rsidR="003C6C99">
        <w:rPr>
          <w:rFonts w:eastAsia="Malgun Gothic"/>
          <w:b/>
          <w:bCs/>
          <w:sz w:val="28"/>
        </w:rPr>
        <w:t>8061</w:t>
      </w:r>
    </w:p>
    <w:p w14:paraId="4A54CA72" w14:textId="1638113D" w:rsidR="00A2208A" w:rsidRPr="00B55C47" w:rsidRDefault="00BC6E8D"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725DCB" w:rsidRPr="00B55C47">
        <w:rPr>
          <w:rFonts w:eastAsia="Malgun Gothic"/>
          <w:b/>
          <w:bCs/>
          <w:sz w:val="28"/>
          <w:lang w:eastAsia="ko-KR"/>
        </w:rPr>
        <w:t xml:space="preserve">, </w:t>
      </w:r>
      <w:r>
        <w:rPr>
          <w:rFonts w:eastAsia="Malgun Gothic"/>
          <w:b/>
          <w:bCs/>
          <w:sz w:val="28"/>
          <w:lang w:eastAsia="ko-KR"/>
        </w:rPr>
        <w:t>USA</w:t>
      </w:r>
      <w:r w:rsidR="00725DCB" w:rsidRPr="00B55C47">
        <w:rPr>
          <w:rFonts w:eastAsia="Malgun Gothic"/>
          <w:b/>
          <w:bCs/>
          <w:sz w:val="28"/>
          <w:lang w:eastAsia="ko-KR"/>
        </w:rPr>
        <w:t xml:space="preserve">, </w:t>
      </w:r>
      <w:r>
        <w:rPr>
          <w:rFonts w:eastAsia="Malgun Gothic"/>
          <w:b/>
          <w:bCs/>
          <w:sz w:val="28"/>
          <w:lang w:eastAsia="ko-KR"/>
        </w:rPr>
        <w:t>12</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 </w:t>
      </w:r>
      <w:r w:rsidR="00F002EE" w:rsidRPr="00B55C47">
        <w:rPr>
          <w:rFonts w:eastAsia="Malgun Gothic"/>
          <w:b/>
          <w:bCs/>
          <w:sz w:val="28"/>
          <w:lang w:eastAsia="ko-KR"/>
        </w:rPr>
        <w:t>1</w:t>
      </w:r>
      <w:r>
        <w:rPr>
          <w:rFonts w:eastAsia="Malgun Gothic"/>
          <w:b/>
          <w:bCs/>
          <w:sz w:val="28"/>
          <w:lang w:eastAsia="ko-KR"/>
        </w:rPr>
        <w:t>6</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w:t>
      </w:r>
      <w:r>
        <w:rPr>
          <w:rFonts w:eastAsia="Malgun Gothic"/>
          <w:b/>
          <w:bCs/>
          <w:sz w:val="28"/>
          <w:lang w:eastAsia="ko-KR"/>
        </w:rPr>
        <w:t>November</w:t>
      </w:r>
      <w:r w:rsidR="00725DCB" w:rsidRPr="00B55C47">
        <w:rPr>
          <w:rFonts w:eastAsia="Malgun Gothic"/>
          <w:b/>
          <w:bCs/>
          <w:sz w:val="28"/>
          <w:lang w:eastAsia="ko-KR"/>
        </w:rPr>
        <w:t xml:space="preserve"> 20</w:t>
      </w:r>
      <w:bookmarkStart w:id="0" w:name="_GoBack"/>
      <w:bookmarkEnd w:id="0"/>
      <w:r w:rsidR="00725DCB" w:rsidRPr="00B55C47">
        <w:rPr>
          <w:rFonts w:eastAsia="Malgun Gothic"/>
          <w:b/>
          <w:bCs/>
          <w:sz w:val="28"/>
          <w:lang w:eastAsia="ko-KR"/>
        </w:rPr>
        <w:t>18</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ED397EE" w:rsidR="00A2208A" w:rsidRPr="00BC6E8D" w:rsidRDefault="00A2208A" w:rsidP="00A2208A">
      <w:pPr>
        <w:ind w:left="2160" w:hanging="2160"/>
      </w:pPr>
      <w:r w:rsidRPr="00B55C47">
        <w:rPr>
          <w:b/>
        </w:rPr>
        <w:t>Title:</w:t>
      </w:r>
      <w:r w:rsidRPr="00B55C47">
        <w:rPr>
          <w:b/>
        </w:rPr>
        <w:tab/>
      </w:r>
      <w:r w:rsidR="00AE3E63" w:rsidRPr="00AE3E63">
        <w:t>Discussion on Measurement Uncertainty in FR2</w:t>
      </w:r>
    </w:p>
    <w:p w14:paraId="0483421E" w14:textId="03B55E95" w:rsidR="00A2208A" w:rsidRPr="00B55C47" w:rsidRDefault="00A2208A" w:rsidP="00A2208A">
      <w:pPr>
        <w:rPr>
          <w:bCs/>
          <w:lang w:eastAsia="ja-JP"/>
        </w:rPr>
      </w:pPr>
      <w:r w:rsidRPr="00B55C47">
        <w:rPr>
          <w:b/>
        </w:rPr>
        <w:t>Agenda Item:</w:t>
      </w:r>
      <w:r w:rsidR="00BB2F5E" w:rsidRPr="00B55C47">
        <w:tab/>
      </w:r>
      <w:r w:rsidR="00BB2F5E" w:rsidRPr="00B55C47">
        <w:tab/>
        <w:t>5.</w:t>
      </w:r>
      <w:r w:rsidR="00BC6E8D">
        <w:t>3.9.17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AEBD28B" w:rsidR="00F002EE" w:rsidRPr="00B55C47" w:rsidRDefault="00BC6E8D" w:rsidP="008159B1">
      <w:pPr>
        <w:jc w:val="both"/>
      </w:pPr>
      <w:bookmarkStart w:id="1" w:name="OLE_LINK10"/>
      <w:bookmarkStart w:id="2" w:name="OLE_LINK11"/>
      <w:r>
        <w:t>In this document measurement uncertainty contributions are analyzed for a</w:t>
      </w:r>
      <w:r w:rsidR="00DD524F">
        <w:t>n</w:t>
      </w:r>
      <w:r>
        <w:t xml:space="preserve"> IFF system for a DUT size of 30 cm. </w:t>
      </w:r>
    </w:p>
    <w:p w14:paraId="59D92B3E" w14:textId="2BA36134" w:rsidR="00FC45FA" w:rsidRDefault="00BC6E8D" w:rsidP="00FC45FA">
      <w:pPr>
        <w:pStyle w:val="berschrift1"/>
        <w:rPr>
          <w:lang w:val="en-US"/>
        </w:rPr>
      </w:pPr>
      <w:r>
        <w:rPr>
          <w:lang w:val="en-US"/>
        </w:rPr>
        <w:t>Discussion</w:t>
      </w:r>
    </w:p>
    <w:p w14:paraId="35D4CA81" w14:textId="50B097F9" w:rsidR="00BC6E8D" w:rsidRPr="00BC6E8D" w:rsidRDefault="00BC6E8D" w:rsidP="00BC6E8D">
      <w:pPr>
        <w:pStyle w:val="berschrift2"/>
      </w:pPr>
      <w:r>
        <w:t>Random Uncertainty</w:t>
      </w:r>
    </w:p>
    <w:p w14:paraId="6A0366C8" w14:textId="77777777" w:rsidR="00BC6E8D" w:rsidRDefault="00BC6E8D" w:rsidP="008829FA">
      <w:pPr>
        <w:rPr>
          <w:lang w:eastAsia="en-US"/>
        </w:rPr>
      </w:pPr>
      <w:r>
        <w:rPr>
          <w:lang w:eastAsia="en-US"/>
        </w:rPr>
        <w:t xml:space="preserve">Random uncertainty is defined to account for all unknown and unquantifiable uncertainties associated with the measurements. By its nature, a precise derivation is not possible and it is an empirical value that has a dependence on the system complexity. </w:t>
      </w:r>
    </w:p>
    <w:p w14:paraId="1A53C12F" w14:textId="4074A876" w:rsidR="00BC6E8D" w:rsidRDefault="00BC6E8D" w:rsidP="008829FA">
      <w:pPr>
        <w:rPr>
          <w:lang w:eastAsia="en-US"/>
        </w:rPr>
      </w:pPr>
      <w:r>
        <w:rPr>
          <w:lang w:eastAsia="en-US"/>
        </w:rPr>
        <w:t>In clause B.1.1.4.9 of TR 38.810</w:t>
      </w:r>
      <w:r w:rsidR="008C1017">
        <w:rPr>
          <w:lang w:eastAsia="en-US"/>
        </w:rPr>
        <w:t xml:space="preserve"> [1],</w:t>
      </w:r>
      <w:r>
        <w:rPr>
          <w:lang w:eastAsia="en-US"/>
        </w:rPr>
        <w:t xml:space="preserve"> a value of 0.5 dB is suggested due to </w:t>
      </w:r>
      <w:r w:rsidRPr="00BC6E8D">
        <w:rPr>
          <w:lang w:eastAsia="en-US"/>
        </w:rPr>
        <w:t>increased sensitivity to random effects in more complex, higher frequency NR test systems.</w:t>
      </w:r>
      <w:r>
        <w:rPr>
          <w:lang w:eastAsia="en-US"/>
        </w:rPr>
        <w:t xml:space="preserve"> However, in the uncertainty assessment</w:t>
      </w:r>
      <w:r w:rsidR="008C1017">
        <w:rPr>
          <w:lang w:eastAsia="en-US"/>
        </w:rPr>
        <w:t xml:space="preserve"> tables</w:t>
      </w:r>
      <w:r>
        <w:rPr>
          <w:lang w:eastAsia="en-US"/>
        </w:rPr>
        <w:t xml:space="preserve"> an uncertainty value of 0.4 dB with a rectangular probability distribution is applied.</w:t>
      </w:r>
    </w:p>
    <w:p w14:paraId="08E2C860" w14:textId="71B1EEE6" w:rsidR="00BC6E8D" w:rsidRDefault="00BC6E8D" w:rsidP="008829FA">
      <w:pPr>
        <w:rPr>
          <w:lang w:eastAsia="en-US"/>
        </w:rPr>
      </w:pPr>
      <w:r>
        <w:rPr>
          <w:lang w:eastAsia="en-US"/>
        </w:rPr>
        <w:t xml:space="preserve">Taking into account that RAN4 has carried out the analysis </w:t>
      </w:r>
      <w:r w:rsidR="00DD524F">
        <w:rPr>
          <w:lang w:eastAsia="en-US"/>
        </w:rPr>
        <w:t>limited to</w:t>
      </w:r>
      <w:r>
        <w:rPr>
          <w:lang w:eastAsia="en-US"/>
        </w:rPr>
        <w:t xml:space="preserve"> in-band and non-CA</w:t>
      </w:r>
      <w:r w:rsidR="00DD524F">
        <w:rPr>
          <w:lang w:eastAsia="en-US"/>
        </w:rPr>
        <w:t>,</w:t>
      </w:r>
      <w:r>
        <w:rPr>
          <w:lang w:eastAsia="en-US"/>
        </w:rPr>
        <w:t xml:space="preserve"> the complexity of actual test systems is expected to be higher </w:t>
      </w:r>
      <w:r w:rsidR="008C1017">
        <w:rPr>
          <w:lang w:eastAsia="en-US"/>
        </w:rPr>
        <w:t xml:space="preserve">and therefore </w:t>
      </w:r>
      <w:r>
        <w:rPr>
          <w:lang w:eastAsia="en-US"/>
        </w:rPr>
        <w:t xml:space="preserve">a value of 0.5 dB </w:t>
      </w:r>
      <w:r w:rsidR="008C1017">
        <w:rPr>
          <w:lang w:eastAsia="en-US"/>
        </w:rPr>
        <w:t xml:space="preserve">for the random uncertainty </w:t>
      </w:r>
      <w:r>
        <w:rPr>
          <w:lang w:eastAsia="en-US"/>
        </w:rPr>
        <w:t>is proposed.</w:t>
      </w:r>
    </w:p>
    <w:p w14:paraId="44867C70" w14:textId="581B58EE" w:rsidR="00BC6E8D" w:rsidRDefault="00BC6E8D" w:rsidP="008829FA">
      <w:pPr>
        <w:rPr>
          <w:b/>
          <w:lang w:eastAsia="en-US"/>
        </w:rPr>
      </w:pPr>
      <w:r w:rsidRPr="00BC6E8D">
        <w:rPr>
          <w:b/>
          <w:lang w:eastAsia="en-US"/>
        </w:rPr>
        <w:t>Proposal 1:</w:t>
      </w:r>
      <w:r>
        <w:rPr>
          <w:b/>
          <w:lang w:eastAsia="en-US"/>
        </w:rPr>
        <w:t xml:space="preserve"> </w:t>
      </w:r>
      <w:r w:rsidRPr="00BC6E8D">
        <w:rPr>
          <w:b/>
          <w:lang w:eastAsia="en-US"/>
        </w:rPr>
        <w:t xml:space="preserve">Specify a random uncertainty of 0.5 dB with a </w:t>
      </w:r>
      <w:r w:rsidR="003C6C99">
        <w:rPr>
          <w:b/>
          <w:lang w:eastAsia="en-US"/>
        </w:rPr>
        <w:t xml:space="preserve">normal </w:t>
      </w:r>
      <w:r w:rsidRPr="00BC6E8D">
        <w:rPr>
          <w:b/>
          <w:lang w:eastAsia="en-US"/>
        </w:rPr>
        <w:t xml:space="preserve">distribution resulting in a standard deviation of </w:t>
      </w:r>
      <w:r w:rsidR="0010135A">
        <w:rPr>
          <w:b/>
          <w:lang w:eastAsia="en-US"/>
        </w:rPr>
        <w:t>0.25</w:t>
      </w:r>
      <w:r w:rsidRPr="00BC6E8D">
        <w:rPr>
          <w:b/>
          <w:lang w:eastAsia="en-US"/>
        </w:rPr>
        <w:t xml:space="preserve"> dB.</w:t>
      </w:r>
    </w:p>
    <w:p w14:paraId="7618C77D" w14:textId="7B54B0C3" w:rsidR="009D3C74" w:rsidRDefault="009D3C74" w:rsidP="009D3C74">
      <w:pPr>
        <w:pStyle w:val="berschrift2"/>
      </w:pPr>
      <w:r w:rsidRPr="0085746B">
        <w:t>Positioning misalignment</w:t>
      </w:r>
    </w:p>
    <w:p w14:paraId="4286DEFF" w14:textId="107B6843" w:rsidR="009D3C74" w:rsidRDefault="009D3C74" w:rsidP="009D3C74">
      <w:pPr>
        <w:rPr>
          <w:lang w:eastAsia="en-US"/>
        </w:rPr>
      </w:pPr>
      <w:r w:rsidRPr="009D3C74">
        <w:rPr>
          <w:lang w:eastAsia="en-US"/>
        </w:rPr>
        <w:t xml:space="preserve">In TR 38.903 [3] positioning misalignment is defined </w:t>
      </w:r>
      <w:r>
        <w:rPr>
          <w:lang w:eastAsia="en-US"/>
        </w:rPr>
        <w:t>for DFF</w:t>
      </w:r>
      <w:r w:rsidRPr="009D3C74">
        <w:rPr>
          <w:lang w:eastAsia="en-US"/>
        </w:rPr>
        <w:t xml:space="preserve"> in clause B</w:t>
      </w:r>
      <w:r>
        <w:rPr>
          <w:lang w:eastAsia="en-US"/>
        </w:rPr>
        <w:t>.2.1.1 and the description for IFF refers to the same clause:</w:t>
      </w:r>
      <w:bookmarkStart w:id="3" w:name="_Toc525048046"/>
    </w:p>
    <w:p w14:paraId="02AE9C73" w14:textId="4F77D082" w:rsidR="009D3C74" w:rsidRPr="009D3C74" w:rsidRDefault="009D3C74" w:rsidP="009D3C74">
      <w:pPr>
        <w:rPr>
          <w:i/>
          <w:highlight w:val="lightGray"/>
          <w:lang w:eastAsia="en-US"/>
        </w:rPr>
      </w:pPr>
      <w:r w:rsidRPr="009D3C74">
        <w:rPr>
          <w:rFonts w:cs="Times New Roman"/>
          <w:i/>
          <w:sz w:val="28"/>
          <w:szCs w:val="20"/>
          <w:highlight w:val="lightGray"/>
          <w:lang w:val="en-GB" w:eastAsia="ja-JP"/>
        </w:rPr>
        <w:t>B.2.1.1</w:t>
      </w:r>
      <w:r w:rsidRPr="009D3C74">
        <w:rPr>
          <w:rFonts w:cs="Times New Roman"/>
          <w:i/>
          <w:sz w:val="28"/>
          <w:szCs w:val="20"/>
          <w:highlight w:val="lightGray"/>
          <w:lang w:val="en-GB" w:eastAsia="ja-JP"/>
        </w:rPr>
        <w:tab/>
        <w:t>Positioning misalignment</w:t>
      </w:r>
      <w:bookmarkEnd w:id="3"/>
      <w:r w:rsidRPr="009D3C74">
        <w:rPr>
          <w:rFonts w:cs="Times New Roman"/>
          <w:i/>
          <w:sz w:val="28"/>
          <w:szCs w:val="20"/>
          <w:highlight w:val="lightGray"/>
          <w:lang w:val="en-GB" w:eastAsia="ja-JP"/>
        </w:rPr>
        <w:t xml:space="preserve"> </w:t>
      </w:r>
    </w:p>
    <w:p w14:paraId="7FB49F25" w14:textId="7C1F37BC" w:rsidR="009D3C74" w:rsidRDefault="009D3C74" w:rsidP="009D3C74">
      <w:pPr>
        <w:spacing w:after="180" w:line="240" w:lineRule="auto"/>
        <w:rPr>
          <w:rFonts w:ascii="Times New Roman" w:hAnsi="Times New Roman" w:cs="Times New Roman"/>
          <w:i/>
          <w:sz w:val="20"/>
          <w:szCs w:val="20"/>
          <w:lang w:val="en-GB" w:eastAsia="en-US"/>
        </w:rPr>
      </w:pPr>
      <w:r w:rsidRPr="009D3C74">
        <w:rPr>
          <w:rFonts w:ascii="Times New Roman" w:hAnsi="Times New Roman" w:cs="Times New Roman"/>
          <w:i/>
          <w:sz w:val="20"/>
          <w:szCs w:val="20"/>
          <w:highlight w:val="lightGray"/>
          <w:lang w:val="en-GB" w:eastAsia="en-US"/>
        </w:rPr>
        <w:t>This contribution originates from the misalignment of the testing direction and the beam peak direction of the measurement antenna due to imperfect rotation operation. The pointing misalignment may happen in both azimuth and vertical directions and the effect of the misalignment depends highly on the beam width of the beam under test. The same level of misalignment results in a larger measurement error for a narrower beam.</w:t>
      </w:r>
    </w:p>
    <w:p w14:paraId="54AA228E" w14:textId="1F17A592" w:rsidR="00C17423" w:rsidRDefault="00C17423" w:rsidP="00C17423">
      <w:pPr>
        <w:rPr>
          <w:lang w:eastAsia="en-US"/>
        </w:rPr>
      </w:pPr>
      <w:r>
        <w:rPr>
          <w:lang w:eastAsia="en-US"/>
        </w:rPr>
        <w:t xml:space="preserve">As </w:t>
      </w:r>
      <w:r w:rsidRPr="00C17423">
        <w:rPr>
          <w:lang w:eastAsia="en-US"/>
        </w:rPr>
        <w:t>EIRP measurements</w:t>
      </w:r>
      <w:r>
        <w:rPr>
          <w:lang w:eastAsia="en-US"/>
        </w:rPr>
        <w:t xml:space="preserve"> are carried out at the beam peak direction with the same positioning system, this uncertainty contribution is related to the repeatability of positioning. In order to save </w:t>
      </w:r>
      <w:r>
        <w:rPr>
          <w:lang w:eastAsia="en-US"/>
        </w:rPr>
        <w:lastRenderedPageBreak/>
        <w:t>test time, positions are not always moved to from the same direction, e.g., always with increasing azimuth angles and therefore the back lash has to be accounted for. The uncertainty due to repeatability when positioning always from the same direction is negligible compared to the back lash in our system is 0.15 degrees for the azimuth axis. Comparing this number to the step size of the beam peak search grid, the value of the uncertainty associated to the back lash is negligible.</w:t>
      </w:r>
    </w:p>
    <w:p w14:paraId="6937A0A3" w14:textId="5664A8D1" w:rsidR="00C17423" w:rsidRDefault="00C17423" w:rsidP="00C17423">
      <w:pPr>
        <w:rPr>
          <w:lang w:eastAsia="en-US"/>
        </w:rPr>
      </w:pPr>
      <w:r>
        <w:rPr>
          <w:lang w:eastAsia="en-US"/>
        </w:rPr>
        <w:t>For TRP the effect of back lash is smaller due to the inherent averaging in the integration.</w:t>
      </w:r>
    </w:p>
    <w:p w14:paraId="6EAD4F56" w14:textId="6B145CCE"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 repeatability of the positioning system which is limited by back lash. However, the effect due to back lash is much smaller than the one of the step size of the beam peak search grid.</w:t>
      </w:r>
    </w:p>
    <w:p w14:paraId="7ABD4A1F" w14:textId="46F33724" w:rsidR="00C17423" w:rsidRPr="00780B7D" w:rsidRDefault="00C17423" w:rsidP="009D3C74">
      <w:pPr>
        <w:rPr>
          <w:b/>
          <w:lang w:eastAsia="en-US"/>
        </w:rPr>
      </w:pPr>
      <w:r w:rsidRPr="00C17423">
        <w:rPr>
          <w:b/>
          <w:lang w:eastAsia="en-US"/>
        </w:rPr>
        <w:t>Proposal</w:t>
      </w:r>
      <w:r>
        <w:rPr>
          <w:b/>
          <w:lang w:eastAsia="en-US"/>
        </w:rPr>
        <w:t xml:space="preserve"> 2</w:t>
      </w:r>
      <w:r w:rsidRPr="00C17423">
        <w:rPr>
          <w:b/>
          <w:lang w:eastAsia="en-US"/>
        </w:rPr>
        <w:t>: Set the value of positioning misalignment to zero.</w:t>
      </w:r>
    </w:p>
    <w:p w14:paraId="71A6D7CC" w14:textId="21EE356E" w:rsidR="00BC6E8D" w:rsidRDefault="00BC6E8D" w:rsidP="00BC6E8D">
      <w:pPr>
        <w:pStyle w:val="berschrift1"/>
      </w:pPr>
      <w:r>
        <w:t>Assumptions</w:t>
      </w:r>
    </w:p>
    <w:tbl>
      <w:tblPr>
        <w:tblStyle w:val="EinfacheTabelle2"/>
        <w:tblW w:w="9360" w:type="dxa"/>
        <w:tblInd w:w="-5" w:type="dxa"/>
        <w:tblLook w:val="0000" w:firstRow="0" w:lastRow="0" w:firstColumn="0" w:lastColumn="0" w:noHBand="0" w:noVBand="0"/>
      </w:tblPr>
      <w:tblGrid>
        <w:gridCol w:w="704"/>
        <w:gridCol w:w="4399"/>
        <w:gridCol w:w="4257"/>
      </w:tblGrid>
      <w:tr w:rsidR="00BC6E8D" w:rsidRPr="00BC6E8D" w14:paraId="42961734"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399"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4257" w:type="dxa"/>
          </w:tcPr>
          <w:p w14:paraId="7172222D" w14:textId="0C66F613" w:rsidR="00BC6E8D" w:rsidRPr="00BC6E8D" w:rsidRDefault="00BC6E8D" w:rsidP="00F4303E">
            <w:pPr>
              <w:rPr>
                <w:lang w:val="en-GB" w:eastAsia="en-US"/>
              </w:rPr>
            </w:pPr>
            <w:r>
              <w:rPr>
                <w:lang w:val="en-GB" w:eastAsia="en-US"/>
              </w:rPr>
              <w:t>Assumption</w:t>
            </w:r>
          </w:p>
        </w:tc>
      </w:tr>
      <w:tr w:rsidR="00BC6E8D" w:rsidRPr="00BC6E8D" w14:paraId="45E53769"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BC6E8D" w:rsidRPr="00BC6E8D" w:rsidRDefault="00BC6E8D" w:rsidP="00F4303E">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399" w:type="dxa"/>
          </w:tcPr>
          <w:p w14:paraId="1CD84B76" w14:textId="77777777" w:rsidR="00BC6E8D" w:rsidRPr="00BC6E8D" w:rsidRDefault="00BC6E8D" w:rsidP="00F4303E">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4257" w:type="dxa"/>
          </w:tcPr>
          <w:p w14:paraId="30D3BC22" w14:textId="64730AEC" w:rsidR="00BC6E8D" w:rsidRPr="00BC6E8D" w:rsidRDefault="00BC6E8D" w:rsidP="00F4303E">
            <w:pPr>
              <w:rPr>
                <w:lang w:val="en-GB" w:eastAsia="en-US"/>
              </w:rPr>
            </w:pPr>
            <w:r>
              <w:rPr>
                <w:lang w:val="en-GB" w:eastAsia="en-US"/>
              </w:rPr>
              <w:t>23.45 GHz – 40.8 GHz</w:t>
            </w:r>
          </w:p>
        </w:tc>
      </w:tr>
      <w:tr w:rsidR="00BC6E8D" w:rsidRPr="00BC6E8D" w14:paraId="542273DD"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BC6E8D" w:rsidRPr="00BC6E8D" w:rsidRDefault="00BC6E8D" w:rsidP="00F4303E">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399" w:type="dxa"/>
          </w:tcPr>
          <w:p w14:paraId="55671F34" w14:textId="77777777" w:rsidR="00BC6E8D" w:rsidRPr="00BC6E8D" w:rsidRDefault="00BC6E8D" w:rsidP="00F4303E">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4257" w:type="dxa"/>
          </w:tcPr>
          <w:p w14:paraId="7024F045" w14:textId="4B2C475B" w:rsidR="00BC6E8D" w:rsidRPr="00BC6E8D" w:rsidRDefault="00BC6E8D" w:rsidP="00F4303E">
            <w:pPr>
              <w:rPr>
                <w:lang w:val="en-GB" w:eastAsia="en-US"/>
              </w:rPr>
            </w:pPr>
            <w:r>
              <w:rPr>
                <w:lang w:val="en-GB" w:eastAsia="en-US"/>
              </w:rPr>
              <w:t>30 cm</w:t>
            </w:r>
          </w:p>
        </w:tc>
      </w:tr>
      <w:tr w:rsidR="00BC6E8D" w:rsidRPr="00BC6E8D" w14:paraId="03579C77"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BC6E8D" w:rsidRPr="00BC6E8D" w:rsidRDefault="00BC6E8D" w:rsidP="00F4303E">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399" w:type="dxa"/>
          </w:tcPr>
          <w:p w14:paraId="170C915F" w14:textId="77777777" w:rsidR="00BC6E8D" w:rsidRPr="00BC6E8D" w:rsidRDefault="00BC6E8D" w:rsidP="00F4303E">
            <w:pPr>
              <w:rPr>
                <w:lang w:val="en-GB" w:eastAsia="en-US"/>
              </w:rPr>
            </w:pPr>
            <w:r w:rsidRPr="00BC6E8D">
              <w:rPr>
                <w:lang w:val="en-GB" w:eastAsia="en-US"/>
              </w:rPr>
              <w:t>Power range for EIRP measurements considered at the conducted reference plane</w:t>
            </w:r>
          </w:p>
        </w:tc>
        <w:tc>
          <w:tcPr>
            <w:cnfStyle w:val="000010000000" w:firstRow="0" w:lastRow="0" w:firstColumn="0" w:lastColumn="0" w:oddVBand="1" w:evenVBand="0" w:oddHBand="0" w:evenHBand="0" w:firstRowFirstColumn="0" w:firstRowLastColumn="0" w:lastRowFirstColumn="0" w:lastRowLastColumn="0"/>
            <w:tcW w:w="4257" w:type="dxa"/>
          </w:tcPr>
          <w:p w14:paraId="5831A36E" w14:textId="278A7E8D" w:rsidR="00BC6E8D" w:rsidRPr="00BC6E8D" w:rsidRDefault="00CB4E6E" w:rsidP="00CB4E6E">
            <w:pPr>
              <w:rPr>
                <w:lang w:val="en-GB" w:eastAsia="en-US"/>
              </w:rPr>
            </w:pPr>
            <w:r>
              <w:rPr>
                <w:lang w:val="en-GB" w:eastAsia="en-US"/>
              </w:rPr>
              <w:t>no influence on discussed contributors</w:t>
            </w:r>
          </w:p>
        </w:tc>
      </w:tr>
      <w:tr w:rsidR="00BC6E8D" w:rsidRPr="00BC6E8D" w14:paraId="35E4912F"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BC6E8D" w:rsidRPr="00BC6E8D" w:rsidRDefault="00BC6E8D" w:rsidP="00F4303E">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399" w:type="dxa"/>
          </w:tcPr>
          <w:p w14:paraId="2DF4E5FB" w14:textId="77777777" w:rsidR="00BC6E8D" w:rsidRPr="00BC6E8D" w:rsidRDefault="00BC6E8D" w:rsidP="00F4303E">
            <w:pPr>
              <w:rPr>
                <w:lang w:val="en-GB" w:eastAsia="en-US"/>
              </w:rPr>
            </w:pPr>
            <w:r w:rsidRPr="00BC6E8D">
              <w:rPr>
                <w:lang w:val="en-GB" w:eastAsia="en-US"/>
              </w:rPr>
              <w:t>Temperature variation impact</w:t>
            </w:r>
          </w:p>
        </w:tc>
        <w:tc>
          <w:tcPr>
            <w:cnfStyle w:val="000010000000" w:firstRow="0" w:lastRow="0" w:firstColumn="0" w:lastColumn="0" w:oddVBand="1" w:evenVBand="0" w:oddHBand="0" w:evenHBand="0" w:firstRowFirstColumn="0" w:firstRowLastColumn="0" w:lastRowFirstColumn="0" w:lastRowLastColumn="0"/>
            <w:tcW w:w="4257" w:type="dxa"/>
          </w:tcPr>
          <w:p w14:paraId="27279DFC" w14:textId="543F68AE" w:rsidR="00BC6E8D" w:rsidRPr="00BC6E8D" w:rsidRDefault="00CB4E6E" w:rsidP="00CE50A5">
            <w:pPr>
              <w:rPr>
                <w:lang w:val="en-GB" w:eastAsia="en-US"/>
              </w:rPr>
            </w:pPr>
            <w:r>
              <w:rPr>
                <w:lang w:val="en-GB" w:eastAsia="en-US"/>
              </w:rPr>
              <w:t>no influence on discussed contributors</w:t>
            </w:r>
          </w:p>
        </w:tc>
      </w:tr>
      <w:tr w:rsidR="00BC6E8D" w:rsidRPr="00BC6E8D" w14:paraId="1103E519"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BC6E8D" w:rsidRPr="00BC6E8D" w:rsidRDefault="00BC6E8D" w:rsidP="00F4303E">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399" w:type="dxa"/>
          </w:tcPr>
          <w:p w14:paraId="2038388D" w14:textId="77777777" w:rsidR="00BC6E8D" w:rsidRPr="00BC6E8D" w:rsidRDefault="00BC6E8D" w:rsidP="00F4303E">
            <w:pPr>
              <w:rPr>
                <w:lang w:val="en-GB" w:eastAsia="en-US"/>
              </w:rPr>
            </w:pPr>
            <w:r w:rsidRPr="00BC6E8D">
              <w:rPr>
                <w:lang w:val="en-GB" w:eastAsia="en-US"/>
              </w:rPr>
              <w:t>Spectral flatness</w:t>
            </w:r>
          </w:p>
        </w:tc>
        <w:tc>
          <w:tcPr>
            <w:cnfStyle w:val="000010000000" w:firstRow="0" w:lastRow="0" w:firstColumn="0" w:lastColumn="0" w:oddVBand="1" w:evenVBand="0" w:oddHBand="0" w:evenHBand="0" w:firstRowFirstColumn="0" w:firstRowLastColumn="0" w:lastRowFirstColumn="0" w:lastRowLastColumn="0"/>
            <w:tcW w:w="4257" w:type="dxa"/>
          </w:tcPr>
          <w:p w14:paraId="27DE2A27" w14:textId="4D2B995A" w:rsidR="00BC6E8D" w:rsidRPr="00BC6E8D" w:rsidRDefault="00CB4E6E" w:rsidP="00F4303E">
            <w:pPr>
              <w:rPr>
                <w:lang w:val="en-GB" w:eastAsia="en-US"/>
              </w:rPr>
            </w:pPr>
            <w:r>
              <w:rPr>
                <w:lang w:val="en-GB" w:eastAsia="en-US"/>
              </w:rPr>
              <w:t>no influence on discussed contributors</w:t>
            </w:r>
          </w:p>
        </w:tc>
      </w:tr>
      <w:tr w:rsidR="00BC6E8D" w:rsidRPr="00BC6E8D" w14:paraId="25F3E7FA"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D78BC22" w14:textId="77777777" w:rsidR="00BC6E8D" w:rsidRPr="00BC6E8D" w:rsidRDefault="00BC6E8D" w:rsidP="00F4303E">
            <w:pPr>
              <w:rPr>
                <w:lang w:val="en-GB" w:eastAsia="en-US"/>
              </w:rPr>
            </w:pPr>
            <w:r w:rsidRPr="00BC6E8D">
              <w:rPr>
                <w:lang w:val="en-GB" w:eastAsia="en-US"/>
              </w:rPr>
              <w:t>#7</w:t>
            </w:r>
          </w:p>
        </w:tc>
        <w:tc>
          <w:tcPr>
            <w:cnfStyle w:val="000001000000" w:firstRow="0" w:lastRow="0" w:firstColumn="0" w:lastColumn="0" w:oddVBand="0" w:evenVBand="1" w:oddHBand="0" w:evenHBand="0" w:firstRowFirstColumn="0" w:firstRowLastColumn="0" w:lastRowFirstColumn="0" w:lastRowLastColumn="0"/>
            <w:tcW w:w="4399" w:type="dxa"/>
          </w:tcPr>
          <w:p w14:paraId="7BD64C33" w14:textId="77777777" w:rsidR="00BC6E8D" w:rsidRPr="00BC6E8D" w:rsidRDefault="00BC6E8D" w:rsidP="00F4303E">
            <w:pPr>
              <w:rPr>
                <w:lang w:val="en-GB" w:eastAsia="en-US"/>
              </w:rPr>
            </w:pPr>
            <w:r w:rsidRPr="00BC6E8D">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4257" w:type="dxa"/>
          </w:tcPr>
          <w:p w14:paraId="67363749" w14:textId="4FEACEF3" w:rsidR="00BC6E8D" w:rsidRPr="00BC6E8D" w:rsidRDefault="00CB4E6E" w:rsidP="00F4303E">
            <w:pPr>
              <w:rPr>
                <w:lang w:val="en-GB" w:eastAsia="en-US"/>
              </w:rPr>
            </w:pPr>
            <w:r>
              <w:rPr>
                <w:lang w:val="en-GB" w:eastAsia="en-US"/>
              </w:rPr>
              <w:t>no influence on discussed contributors</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07E63127" w:rsidR="00AA56D9" w:rsidRPr="00B55C47" w:rsidRDefault="00D00445" w:rsidP="00AA56D9">
      <w:pPr>
        <w:rPr>
          <w:lang w:eastAsia="en-US"/>
        </w:rPr>
      </w:pPr>
      <w:r w:rsidRPr="00B55C47">
        <w:rPr>
          <w:lang w:eastAsia="en-US"/>
        </w:rPr>
        <w:t xml:space="preserve">In summary, the </w:t>
      </w:r>
      <w:r w:rsidR="00BC6E8D">
        <w:rPr>
          <w:lang w:eastAsia="en-US"/>
        </w:rPr>
        <w:t xml:space="preserve">contributor random uncertainty has been treated </w:t>
      </w:r>
    </w:p>
    <w:p w14:paraId="38687F24" w14:textId="5C48FFBE" w:rsidR="008C1017" w:rsidRDefault="008C1017" w:rsidP="008C1017">
      <w:pPr>
        <w:rPr>
          <w:b/>
          <w:lang w:eastAsia="en-US"/>
        </w:rPr>
      </w:pPr>
      <w:r w:rsidRPr="00BC6E8D">
        <w:rPr>
          <w:b/>
          <w:lang w:eastAsia="en-US"/>
        </w:rPr>
        <w:t>Proposal 1:</w:t>
      </w:r>
      <w:r>
        <w:rPr>
          <w:b/>
          <w:lang w:eastAsia="en-US"/>
        </w:rPr>
        <w:t xml:space="preserve"> </w:t>
      </w:r>
      <w:r w:rsidRPr="00BC6E8D">
        <w:rPr>
          <w:b/>
          <w:lang w:eastAsia="en-US"/>
        </w:rPr>
        <w:t xml:space="preserve">Specify a random uncertainty of 0.5 dB with a </w:t>
      </w:r>
      <w:r w:rsidR="003C6C99">
        <w:rPr>
          <w:b/>
          <w:lang w:eastAsia="en-US"/>
        </w:rPr>
        <w:t xml:space="preserve">normal </w:t>
      </w:r>
      <w:r w:rsidRPr="00BC6E8D">
        <w:rPr>
          <w:b/>
          <w:lang w:eastAsia="en-US"/>
        </w:rPr>
        <w:t xml:space="preserve">distribution resulting in a standard deviation of </w:t>
      </w:r>
      <w:r w:rsidR="0010135A">
        <w:rPr>
          <w:b/>
          <w:lang w:eastAsia="en-US"/>
        </w:rPr>
        <w:t>0.25</w:t>
      </w:r>
      <w:r w:rsidRPr="00BC6E8D">
        <w:rPr>
          <w:b/>
          <w:lang w:eastAsia="en-US"/>
        </w:rPr>
        <w:t xml:space="preserve"> dB.</w:t>
      </w:r>
    </w:p>
    <w:p w14:paraId="17D90304" w14:textId="77777777"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 repeatability of the positioning system which is limited by back lash. However, the effect due to back lash is much smaller than the one of the step size of the beam peak search grid.</w:t>
      </w:r>
    </w:p>
    <w:p w14:paraId="7B556367" w14:textId="77777777" w:rsidR="00C17423" w:rsidRPr="00C17423" w:rsidRDefault="00C17423" w:rsidP="00C17423">
      <w:pPr>
        <w:rPr>
          <w:b/>
          <w:lang w:eastAsia="en-US"/>
        </w:rPr>
      </w:pPr>
      <w:r w:rsidRPr="00C17423">
        <w:rPr>
          <w:b/>
          <w:lang w:eastAsia="en-US"/>
        </w:rPr>
        <w:t>Proposal</w:t>
      </w:r>
      <w:r>
        <w:rPr>
          <w:b/>
          <w:lang w:eastAsia="en-US"/>
        </w:rPr>
        <w:t xml:space="preserve"> 2</w:t>
      </w:r>
      <w:r w:rsidRPr="00C17423">
        <w:rPr>
          <w:b/>
          <w:lang w:eastAsia="en-US"/>
        </w:rPr>
        <w:t>: Set the value of positioning misalignment to zero.</w:t>
      </w:r>
    </w:p>
    <w:p w14:paraId="0B2C4AC6" w14:textId="4895ED80" w:rsidR="00AF2B58" w:rsidRPr="00B55C47"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B55C47">
        <w:rPr>
          <w:rFonts w:cs="Arial"/>
          <w:lang w:val="en-US"/>
        </w:rPr>
        <w:lastRenderedPageBreak/>
        <w:t>References</w:t>
      </w:r>
    </w:p>
    <w:p w14:paraId="6AED9EF5" w14:textId="0B6E4AEE" w:rsidR="00E446E8" w:rsidRDefault="00062ECE" w:rsidP="00E446E8">
      <w:pPr>
        <w:pStyle w:val="Listenabsatz"/>
        <w:numPr>
          <w:ilvl w:val="0"/>
          <w:numId w:val="46"/>
        </w:numPr>
        <w:spacing w:after="0" w:line="240" w:lineRule="auto"/>
        <w:rPr>
          <w:lang w:val="en-GB"/>
        </w:rPr>
      </w:pPr>
      <w:r w:rsidRPr="00B55C47">
        <w:rPr>
          <w:lang w:val="en-GB"/>
        </w:rPr>
        <w:t>T</w:t>
      </w:r>
      <w:r w:rsidR="00BF3FA7" w:rsidRPr="00B55C47">
        <w:rPr>
          <w:lang w:val="en-GB"/>
        </w:rPr>
        <w:t>R</w:t>
      </w:r>
      <w:r w:rsidRPr="00B55C47">
        <w:rPr>
          <w:lang w:val="en-GB"/>
        </w:rPr>
        <w:t xml:space="preserve"> 38.</w:t>
      </w:r>
      <w:r w:rsidR="00BF3FA7" w:rsidRPr="00B55C47">
        <w:rPr>
          <w:lang w:val="en-GB"/>
        </w:rPr>
        <w:t>810,</w:t>
      </w:r>
      <w:r w:rsidRPr="00B55C47">
        <w:rPr>
          <w:lang w:val="en-GB"/>
        </w:rPr>
        <w:t xml:space="preserve"> V1</w:t>
      </w:r>
      <w:r w:rsidR="00BF3FA7" w:rsidRPr="00B55C47">
        <w:rPr>
          <w:lang w:val="en-GB"/>
        </w:rPr>
        <w:t>6</w:t>
      </w:r>
      <w:r w:rsidRPr="00B55C47">
        <w:rPr>
          <w:lang w:val="en-GB"/>
        </w:rPr>
        <w:t>.</w:t>
      </w:r>
      <w:r w:rsidR="00BF3FA7" w:rsidRPr="00B55C47">
        <w:rPr>
          <w:lang w:val="en-GB"/>
        </w:rPr>
        <w:t>0</w:t>
      </w:r>
      <w:r w:rsidRPr="00B55C47">
        <w:rPr>
          <w:lang w:val="en-GB"/>
        </w:rPr>
        <w:t>.0 ,</w:t>
      </w:r>
      <w:r w:rsidR="004F7D33" w:rsidRPr="00B55C47">
        <w:rPr>
          <w:noProof/>
          <w:lang w:val="en-US"/>
        </w:rPr>
        <w:t xml:space="preserve"> </w:t>
      </w:r>
      <w:r w:rsidR="00E446E8" w:rsidRPr="00B55C47">
        <w:rPr>
          <w:lang w:val="en-GB"/>
        </w:rPr>
        <w:t>3</w:t>
      </w:r>
      <w:r w:rsidR="00E446E8" w:rsidRPr="003B026C">
        <w:rPr>
          <w:lang w:val="en-GB"/>
        </w:rPr>
        <w:t xml:space="preserve">GPP TSG RAN WG4, </w:t>
      </w:r>
      <w:r w:rsidR="00BF3FA7">
        <w:rPr>
          <w:lang w:val="en-GB"/>
        </w:rPr>
        <w:t>September</w:t>
      </w:r>
      <w:r w:rsidR="00E446E8" w:rsidRPr="003B026C">
        <w:rPr>
          <w:lang w:val="en-GB"/>
        </w:rPr>
        <w:t xml:space="preserve"> 2018</w:t>
      </w:r>
    </w:p>
    <w:p w14:paraId="6E92B159" w14:textId="43175CD2" w:rsidR="00BF3FA7" w:rsidRDefault="00BF3FA7" w:rsidP="00BF3FA7">
      <w:pPr>
        <w:pStyle w:val="Listenabsatz"/>
        <w:numPr>
          <w:ilvl w:val="0"/>
          <w:numId w:val="46"/>
        </w:numPr>
        <w:spacing w:after="0" w:line="240" w:lineRule="auto"/>
        <w:rPr>
          <w:lang w:val="en-US"/>
        </w:rPr>
      </w:pPr>
      <w:r>
        <w:rPr>
          <w:lang w:val="en-GB"/>
        </w:rPr>
        <w:t xml:space="preserve">R5-185179, </w:t>
      </w:r>
      <w:r w:rsidRPr="00BF3FA7">
        <w:rPr>
          <w:lang w:val="en-GB"/>
        </w:rPr>
        <w:t>Meeting notes of offline discussion on FR2 UE common test setup</w:t>
      </w:r>
      <w:r>
        <w:rPr>
          <w:lang w:val="en-GB"/>
        </w:rPr>
        <w:t xml:space="preserve">, Anritsu, 3GPP TSG RAN WG4, </w:t>
      </w:r>
      <w:r>
        <w:rPr>
          <w:lang w:val="en-US"/>
        </w:rPr>
        <w:t>RAN5 #80, Gothenburg, Sweden, August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bookmarkEnd w:id="4"/>
    <w:bookmarkEnd w:id="5"/>
    <w:bookmarkEnd w:id="6"/>
    <w:bookmarkEnd w:id="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5C695" w14:textId="77777777" w:rsidR="005478DC" w:rsidRDefault="005478DC" w:rsidP="00371D7D">
      <w:r>
        <w:separator/>
      </w:r>
    </w:p>
  </w:endnote>
  <w:endnote w:type="continuationSeparator" w:id="0">
    <w:p w14:paraId="22F8517E" w14:textId="77777777" w:rsidR="005478DC" w:rsidRDefault="005478D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3362E3D"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C6C99">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ECD88" w14:textId="77777777" w:rsidR="005478DC" w:rsidRDefault="005478DC" w:rsidP="00371D7D">
      <w:r>
        <w:separator/>
      </w:r>
    </w:p>
  </w:footnote>
  <w:footnote w:type="continuationSeparator" w:id="0">
    <w:p w14:paraId="0C4FF234" w14:textId="77777777" w:rsidR="005478DC" w:rsidRDefault="005478D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135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56CB"/>
    <w:rsid w:val="005374EC"/>
    <w:rsid w:val="00537AA4"/>
    <w:rsid w:val="00542862"/>
    <w:rsid w:val="005430C7"/>
    <w:rsid w:val="005466D7"/>
    <w:rsid w:val="005478DC"/>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2501E"/>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5E8"/>
    <w:rsid w:val="009D3C74"/>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F11A3"/>
    <w:rsid w:val="00DF19E8"/>
    <w:rsid w:val="00DF443F"/>
    <w:rsid w:val="00DF66C6"/>
    <w:rsid w:val="00E00CA2"/>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B1DCD-8830-47DD-A7D9-4EBCBE907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3544</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2018-10-10T08:10:00Z</dcterms:created>
  <dcterms:modified xsi:type="dcterms:W3CDTF">2018-11-16T21:17:00Z</dcterms:modified>
  <cp:category/>
</cp:coreProperties>
</file>